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06" w:rsidRPr="00A40CC0" w:rsidRDefault="006239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Examen. </w:t>
      </w:r>
      <w:r w:rsidR="00A40CC0" w:rsidRPr="00A40CC0">
        <w:rPr>
          <w:b/>
          <w:sz w:val="28"/>
          <w:szCs w:val="28"/>
        </w:rPr>
        <w:t xml:space="preserve">Recuperación 1ª y 2ª evaluación. Historia 3ª </w:t>
      </w:r>
      <w:proofErr w:type="spellStart"/>
      <w:r w:rsidR="00A40CC0" w:rsidRPr="00A40CC0">
        <w:rPr>
          <w:b/>
          <w:sz w:val="28"/>
          <w:szCs w:val="28"/>
        </w:rPr>
        <w:t>Pmar</w:t>
      </w:r>
      <w:proofErr w:type="spellEnd"/>
    </w:p>
    <w:p w:rsidR="00A40CC0" w:rsidRDefault="00A40CC0" w:rsidP="00A40CC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 w:rsidRPr="00A40CC0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¿Qué acontecimientos marcan el comienzo de la Edad Moderna? 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¿Cómo influyó el primer acontecimiento en el 2º?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 w:rsidRPr="00A40CC0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¿Qué relación hay entre el crecimiento de la población, del comercio y de la producción agrícola?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Pr="00A40CC0" w:rsidRDefault="00922709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922709" w:rsidRDefault="00922709" w:rsidP="00922709">
      <w:pPr>
        <w:spacing w:after="0" w:line="240" w:lineRule="auto"/>
        <w:rPr>
          <w:rFonts w:ascii="Arial" w:eastAsia="Times New Roman" w:hAnsi="Arial" w:cs="Arial"/>
          <w:color w:val="7F6000"/>
          <w:sz w:val="36"/>
          <w:szCs w:val="36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Default="0062398F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2398F" w:rsidRPr="0062398F" w:rsidRDefault="0062398F" w:rsidP="0062398F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 w:rsidRPr="0062398F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¿Qué es el humanismo?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922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22709" w:rsidRDefault="00922709" w:rsidP="0092270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22709" w:rsidRPr="0062398F" w:rsidRDefault="00922709" w:rsidP="0062398F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 w:rsidRPr="0062398F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 ¿Cómo cambió la forma de pensar al pasar del teocentrismo medieval</w:t>
      </w:r>
      <w:r w:rsidR="008A7550" w:rsidRPr="0062398F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 xml:space="preserve"> al Renacimiento y al Humanismo</w:t>
      </w:r>
      <w:r w:rsidRPr="0062398F"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?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lastRenderedPageBreak/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62398F" w:rsidRPr="00A40CC0" w:rsidRDefault="0062398F" w:rsidP="0062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40CC0"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</w:t>
      </w:r>
      <w:r>
        <w:rPr>
          <w:rFonts w:ascii="Arial" w:eastAsia="Times New Roman" w:hAnsi="Arial" w:cs="Arial"/>
          <w:color w:val="7F6000"/>
          <w:sz w:val="36"/>
          <w:szCs w:val="36"/>
          <w:lang w:eastAsia="es-ES"/>
        </w:rPr>
        <w:t>______________________________</w:t>
      </w:r>
    </w:p>
    <w:p w:rsidR="00A40CC0" w:rsidRDefault="00A40CC0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</w:p>
    <w:p w:rsidR="0062398F" w:rsidRDefault="0062398F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 xml:space="preserve">Dime todo lo que sepas de los siguientes personajes históricos en relación con las grandes expediciones geográficas: </w:t>
      </w:r>
      <w:bookmarkStart w:id="0" w:name="_GoBack"/>
      <w:bookmarkEnd w:id="0"/>
    </w:p>
    <w:p w:rsidR="0062398F" w:rsidRPr="00A40CC0" w:rsidRDefault="0062398F">
      <w:pPr>
        <w:rPr>
          <w:rFonts w:ascii="Calibri" w:hAnsi="Calibri" w:cs="Calibri"/>
          <w:b/>
          <w:bCs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bCs/>
          <w:sz w:val="21"/>
          <w:szCs w:val="21"/>
          <w:shd w:val="clear" w:color="auto" w:fill="FFFFFF"/>
        </w:rPr>
        <w:t>Vasco de Gama. Marco Polo. Cristóbal Colón. Fernando Magallanes. Isabel de Castilla. Américo Vespucio.</w:t>
      </w:r>
    </w:p>
    <w:sectPr w:rsidR="0062398F" w:rsidRPr="00A40CC0" w:rsidSect="008A7550">
      <w:pgSz w:w="11906" w:h="16838"/>
      <w:pgMar w:top="709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E87"/>
    <w:multiLevelType w:val="multilevel"/>
    <w:tmpl w:val="54BE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7"/>
    <w:rsid w:val="002A4581"/>
    <w:rsid w:val="005971C5"/>
    <w:rsid w:val="005F092C"/>
    <w:rsid w:val="0062398F"/>
    <w:rsid w:val="007D4BBC"/>
    <w:rsid w:val="008A7550"/>
    <w:rsid w:val="008D19E6"/>
    <w:rsid w:val="00922709"/>
    <w:rsid w:val="00A40CC0"/>
    <w:rsid w:val="00C74447"/>
    <w:rsid w:val="00D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E160-11C0-4D3E-89DD-4EFE0495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922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Coronado</dc:creator>
  <cp:keywords/>
  <dc:description/>
  <cp:lastModifiedBy>Milagros Coronado</cp:lastModifiedBy>
  <cp:revision>3</cp:revision>
  <dcterms:created xsi:type="dcterms:W3CDTF">2020-05-20T09:57:00Z</dcterms:created>
  <dcterms:modified xsi:type="dcterms:W3CDTF">2020-05-20T10:06:00Z</dcterms:modified>
</cp:coreProperties>
</file>